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R26: учебная подготовка коммерческих ролей</w:t>
      </w:r>
    </w:p>
    <w:p>
      <w:r>
        <w:t>Никакие реальные сотрудники не тестировались, обязательное обучение не проводилось, допуск не выдавался. Вымышленные профили FAKE и кодированные ответы демонстрируют собственную логику записи результатов.</w:t>
      </w:r>
    </w:p>
    <w:p>
      <w:r>
        <w:t>Воспроизвести на Python3.12 (стандартная библиотека) из каталога:</w:t>
      </w:r>
    </w:p>
    <w:p>
      <w:r>
        <w:t>python3 check_training.py</w:t>
      </w:r>
    </w:p>
    <w:p>
      <w:r>
        <w:t>Скрипт создаёт10 ситуаций,9 сценариев оценки, отчёты и SHAманифест. Ответы заданные заранее, не результаты людей/LLM. Он не проверяет смысл свободного текста. Полнота/критические ошибки/версия/обязательные процедуры/доступы проверяются раздельно, READY_FOR_MANAGER_REVIEW означает лишь учебную готовность к рассмотрению руководителем. Юридическая достаточность отметок не проверяется; нужны реальные документы/ответственные.</w:t>
      </w:r>
    </w:p>
    <w:p>
      <w:r>
        <w:t>situations.json и worksheet.md — десять заданий с эталонами. role_matrix.csv — двухрольная матрица. learning_plan.csv — авторский порядок первых этапов без нормативного обещания срока. knowledge_update_protocol.md — связь изменённой инструкции с заданиями/полномочиями, не RAGконнектор. assessment_log_template.csv — пустой журнал для адаптации, не заполненное внедрение.</w:t>
      </w:r>
    </w:p>
    <w:p>
      <w:r>
        <w:t>T34 PDF получен после одного таймаута; итоговый полный PDF28страниц извлечён. Страница13 просмотрена. T26 уже прочитан в R19, повторное чтение26–29; не обещаются ROI/скорость обучения/безопасностьRAG.</w:t>
      </w:r>
    </w:p>
    <w:p>
      <w:r>
        <w:t>training_cycle.png — публикационная схема, SVG — редактируемый исходник. Для CMS перенести PNG и изменить ссылку; схемы не обложки.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