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R20: учебная приёмка цифровых активов</w:t>
      </w:r>
    </w:p>
    <w:p>
      <w:r>
        <w:t>Все данные и идентификаторы вымышлены. Никакого соединения с CRM/хостингом/регистратором, обработки настоящих персональных данных, передачи прав или отзыва аккаунтов не происходило.</w:t>
      </w:r>
    </w:p>
    <w:p>
      <w:pPr>
        <w:pStyle w:val="Heading2"/>
      </w:pPr>
      <w:r>
        <w:t>Воспроизведение</w:t>
      </w:r>
    </w:p>
    <w:p>
      <w:r>
        <w:t>Python 3.12; только стандартная библиотека. Из этой директории:</w:t>
      </w:r>
    </w:p>
    <w:p>
      <w:r>
        <w:t>python3 check_handover.py</w:t>
      </w:r>
    </w:p>
    <w:p>
      <w:r>
        <w:t>Скрипт создаёт детерминированный FAKE_handover.zip и trusted_manifest.json, выполняет 7 сценариев и обновляет отчёты. SQL создан нами и исполняется только для этого набора; скрипт не является универсальным безопасным обработчиком чужих SQL-архивов. ZIP не извлекается в файловую систему: читаются только известные файлы, состав сопоставляется с внешним манифестом. В производстве дополнительно нужны аутентичность доверенного манифеста, лимиты размера, изоляция восстановления, проверка вредоносного содержимого и совместимости версий.</w:t>
      </w:r>
    </w:p>
    <w:p>
      <w:r>
        <w:t>N01 меняет содержимое при исходном манифесте. N02–N04 создают новые согласованные манифесты неполных комплектов: полнота не заменяется совпадением хеша. N05/N06 проверяют только учебные отметки human_review_recorded/revoked_in_mock_register. Эти отметки не проверяют правовую законность и не обращаются к реестру пользователей.</w:t>
      </w:r>
    </w:p>
    <w:p>
      <w:r>
        <w:t>inventory_template.csv — шаблон реестра, asset_matrix.csv — рекомендации для обсуждения, annexes.md — перечень приложений, не юридический договор. Не включать секреты в CSV/акт/публичный архив. В реальной передаче вместо заглушки прав нужны проверенные документы.</w:t>
      </w:r>
    </w:p>
    <w:p>
      <w:r>
        <w:t>handover.svg — иллюстрация для статьи; PNG только визуальная проверка. При размещении перенести изображение в медиатеку и изменить относительную ссылку. PDF и изображения T03 — источник исследования, не обложки.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